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C7428" w14:textId="77777777" w:rsidR="001112FF" w:rsidRDefault="001112FF" w:rsidP="001112FF">
      <w:pPr>
        <w:pStyle w:val="BodyText2"/>
      </w:pPr>
    </w:p>
    <w:p w14:paraId="2900E418" w14:textId="77777777" w:rsidR="001112FF" w:rsidRDefault="001112FF" w:rsidP="001112FF">
      <w:pPr>
        <w:pStyle w:val="BodyText2"/>
      </w:pPr>
    </w:p>
    <w:p w14:paraId="337E43D1" w14:textId="3213DFC3" w:rsidR="001112FF" w:rsidRDefault="001112FF" w:rsidP="001112FF">
      <w:pPr>
        <w:pStyle w:val="BodyText2"/>
        <w:rPr>
          <w:b/>
        </w:rPr>
      </w:pPr>
      <w:r w:rsidRPr="001112FF">
        <w:rPr>
          <w:b/>
        </w:rPr>
        <w:t>Specifically, the interim report due in spring 2020 should provide evidence that the program has:</w:t>
      </w:r>
    </w:p>
    <w:p w14:paraId="0DD8485A" w14:textId="77777777" w:rsidR="001112FF" w:rsidRPr="001112FF" w:rsidRDefault="001112FF" w:rsidP="001112FF">
      <w:pPr>
        <w:pStyle w:val="BodyText2"/>
        <w:rPr>
          <w:b/>
        </w:rPr>
      </w:pPr>
    </w:p>
    <w:p w14:paraId="48A98589" w14:textId="721E039B" w:rsidR="006B0FE5" w:rsidRDefault="00F91B3C" w:rsidP="006B0FE5">
      <w:pPr>
        <w:pStyle w:val="ListParagraph"/>
        <w:numPr>
          <w:ilvl w:val="0"/>
          <w:numId w:val="1"/>
        </w:numPr>
        <w:rPr>
          <w:b/>
        </w:rPr>
      </w:pPr>
      <w:r>
        <w:rPr>
          <w:b/>
        </w:rPr>
        <w:t>S</w:t>
      </w:r>
      <w:r w:rsidR="006B0FE5">
        <w:rPr>
          <w:b/>
        </w:rPr>
        <w:t>ufficient faculty resources to support both master’s and doctoral degree programs in epidemiology</w:t>
      </w:r>
    </w:p>
    <w:p w14:paraId="570A0A60" w14:textId="77777777" w:rsidR="001112FF" w:rsidRDefault="001112FF" w:rsidP="001112FF">
      <w:pPr>
        <w:pStyle w:val="ListParagraph"/>
        <w:ind w:left="1080"/>
        <w:rPr>
          <w:iCs/>
        </w:rPr>
      </w:pPr>
    </w:p>
    <w:p w14:paraId="58FAC798" w14:textId="2CC075D0" w:rsidR="006B0FE5" w:rsidRDefault="006B0FE5" w:rsidP="00F91B3C">
      <w:pPr>
        <w:pStyle w:val="ListParagraph"/>
        <w:rPr>
          <w:iCs/>
        </w:rPr>
      </w:pPr>
      <w:r w:rsidRPr="006B0FE5">
        <w:rPr>
          <w:iCs/>
        </w:rPr>
        <w:t xml:space="preserve">In July 2019, </w:t>
      </w:r>
      <w:r w:rsidR="001112FF">
        <w:rPr>
          <w:iCs/>
        </w:rPr>
        <w:t xml:space="preserve">our </w:t>
      </w:r>
      <w:r w:rsidRPr="006B0FE5">
        <w:rPr>
          <w:iCs/>
        </w:rPr>
        <w:t xml:space="preserve">program successfully hired </w:t>
      </w:r>
      <w:r w:rsidR="001112FF">
        <w:rPr>
          <w:iCs/>
        </w:rPr>
        <w:t xml:space="preserve">one </w:t>
      </w:r>
      <w:r w:rsidRPr="006B0FE5">
        <w:rPr>
          <w:iCs/>
        </w:rPr>
        <w:t>assistant professor</w:t>
      </w:r>
      <w:r w:rsidR="001112FF">
        <w:rPr>
          <w:iCs/>
        </w:rPr>
        <w:t xml:space="preserve"> and one associate professor</w:t>
      </w:r>
      <w:r w:rsidRPr="006B0FE5">
        <w:rPr>
          <w:iCs/>
        </w:rPr>
        <w:t xml:space="preserve"> </w:t>
      </w:r>
      <w:r w:rsidR="001112FF">
        <w:rPr>
          <w:iCs/>
        </w:rPr>
        <w:t>to provide additional support to the</w:t>
      </w:r>
      <w:r w:rsidRPr="006B0FE5">
        <w:rPr>
          <w:iCs/>
        </w:rPr>
        <w:t xml:space="preserve"> epidemiology</w:t>
      </w:r>
      <w:r w:rsidR="001112FF">
        <w:rPr>
          <w:iCs/>
        </w:rPr>
        <w:t xml:space="preserve"> concentration</w:t>
      </w:r>
      <w:r w:rsidRPr="006B0FE5">
        <w:rPr>
          <w:iCs/>
        </w:rPr>
        <w:t xml:space="preserve">. Both new faculty members began full-time employment on August 1, 2019. At this time, the program has six faculty members </w:t>
      </w:r>
      <w:r w:rsidR="001112FF">
        <w:rPr>
          <w:iCs/>
        </w:rPr>
        <w:t>who</w:t>
      </w:r>
      <w:r w:rsidRPr="006B0FE5">
        <w:rPr>
          <w:iCs/>
        </w:rPr>
        <w:t xml:space="preserve"> support the concentration</w:t>
      </w:r>
      <w:r w:rsidR="001112FF">
        <w:rPr>
          <w:iCs/>
        </w:rPr>
        <w:t>:</w:t>
      </w:r>
      <w:r w:rsidRPr="006B0FE5">
        <w:rPr>
          <w:iCs/>
        </w:rPr>
        <w:t xml:space="preserve"> four are primary instructional faculty (PIF) </w:t>
      </w:r>
      <w:r w:rsidR="001112FF">
        <w:rPr>
          <w:iCs/>
        </w:rPr>
        <w:t xml:space="preserve">at 1.0 FTE each </w:t>
      </w:r>
      <w:r w:rsidRPr="006B0FE5">
        <w:rPr>
          <w:iCs/>
        </w:rPr>
        <w:t>and two are part-time</w:t>
      </w:r>
      <w:r w:rsidR="001112FF">
        <w:rPr>
          <w:iCs/>
        </w:rPr>
        <w:t xml:space="preserve"> at .25 FTE each</w:t>
      </w:r>
      <w:r w:rsidRPr="006B0FE5">
        <w:rPr>
          <w:iCs/>
        </w:rPr>
        <w:t xml:space="preserve">. The addition of these faculty members also effectively reduces the student-faculty advising ratio in epidemiology. </w:t>
      </w:r>
      <w:r w:rsidR="001112FF" w:rsidRPr="001112FF">
        <w:rPr>
          <w:iCs/>
          <w:u w:val="single"/>
        </w:rPr>
        <w:t>Appendix A</w:t>
      </w:r>
      <w:r w:rsidRPr="006B0FE5">
        <w:rPr>
          <w:iCs/>
        </w:rPr>
        <w:t xml:space="preserve"> </w:t>
      </w:r>
      <w:r w:rsidR="001112FF">
        <w:rPr>
          <w:iCs/>
        </w:rPr>
        <w:t>includes up</w:t>
      </w:r>
      <w:r w:rsidRPr="006B0FE5">
        <w:rPr>
          <w:iCs/>
        </w:rPr>
        <w:t>dated versions of Templates C2-1, C2-2</w:t>
      </w:r>
      <w:r w:rsidR="001112FF">
        <w:rPr>
          <w:iCs/>
        </w:rPr>
        <w:t>,</w:t>
      </w:r>
      <w:r w:rsidRPr="006B0FE5">
        <w:rPr>
          <w:iCs/>
        </w:rPr>
        <w:t xml:space="preserve"> and E1-1 reflecting the newly hired faculty and faculty involvement in advising. </w:t>
      </w:r>
      <w:r w:rsidR="001112FF" w:rsidRPr="001112FF">
        <w:rPr>
          <w:iCs/>
          <w:u w:val="single"/>
        </w:rPr>
        <w:t>Appendix B</w:t>
      </w:r>
      <w:r w:rsidR="001112FF">
        <w:rPr>
          <w:iCs/>
        </w:rPr>
        <w:t xml:space="preserve"> includes the </w:t>
      </w:r>
      <w:r w:rsidRPr="006B0FE5">
        <w:rPr>
          <w:iCs/>
        </w:rPr>
        <w:t xml:space="preserve">CVs </w:t>
      </w:r>
      <w:r w:rsidR="001112FF">
        <w:rPr>
          <w:iCs/>
        </w:rPr>
        <w:t>of the two newest faculty members</w:t>
      </w:r>
      <w:r w:rsidRPr="006B0FE5">
        <w:rPr>
          <w:iCs/>
        </w:rPr>
        <w:t>.</w:t>
      </w:r>
    </w:p>
    <w:p w14:paraId="6E7465E1" w14:textId="77777777" w:rsidR="001112FF" w:rsidRPr="006B0FE5" w:rsidRDefault="001112FF" w:rsidP="001112FF">
      <w:pPr>
        <w:pStyle w:val="ListParagraph"/>
        <w:ind w:left="1080"/>
        <w:rPr>
          <w:b/>
        </w:rPr>
      </w:pPr>
    </w:p>
    <w:p w14:paraId="05200FDD" w14:textId="11038C44" w:rsidR="00F90A04" w:rsidRDefault="00F91B3C" w:rsidP="002370DD">
      <w:pPr>
        <w:pStyle w:val="ListParagraph"/>
        <w:numPr>
          <w:ilvl w:val="0"/>
          <w:numId w:val="1"/>
        </w:numPr>
        <w:rPr>
          <w:b/>
        </w:rPr>
      </w:pPr>
      <w:r>
        <w:rPr>
          <w:b/>
        </w:rPr>
        <w:t xml:space="preserve">Developed and implemented </w:t>
      </w:r>
      <w:r w:rsidR="00F90A04">
        <w:rPr>
          <w:b/>
        </w:rPr>
        <w:t xml:space="preserve">robust data collection </w:t>
      </w:r>
      <w:r>
        <w:rPr>
          <w:b/>
        </w:rPr>
        <w:t xml:space="preserve">processes </w:t>
      </w:r>
      <w:r w:rsidR="00F90A04">
        <w:rPr>
          <w:b/>
        </w:rPr>
        <w:t>on post-graduation outco</w:t>
      </w:r>
      <w:r>
        <w:rPr>
          <w:b/>
        </w:rPr>
        <w:t>mes to ensure accurate data</w:t>
      </w:r>
    </w:p>
    <w:p w14:paraId="2BFC8192" w14:textId="77777777" w:rsidR="00F91B3C" w:rsidRDefault="00F91B3C" w:rsidP="00F91B3C">
      <w:pPr>
        <w:pStyle w:val="ListParagraph"/>
        <w:spacing w:after="0"/>
        <w:rPr>
          <w:b/>
        </w:rPr>
      </w:pPr>
    </w:p>
    <w:p w14:paraId="1DE32226" w14:textId="0DD81496" w:rsidR="00F90A04" w:rsidRDefault="00CB381A" w:rsidP="00F91B3C">
      <w:pPr>
        <w:ind w:left="720"/>
      </w:pPr>
      <w:r>
        <w:t xml:space="preserve">Program faculty met in summer 2019 to revise the alumni survey and to define a consistent and ongoing implementation plan. This survey will be sent by the program to graduates (using personal email addresses rather than </w:t>
      </w:r>
      <w:r w:rsidR="00A7740A">
        <w:t>university-issued</w:t>
      </w:r>
      <w:r>
        <w:t>) six months after graduation. One reminder will be sent to those who haven’t completed the survey within 10 days. One month after the survey has been sent, the program will reach out individually to alumni who haven’t responded.</w:t>
      </w:r>
      <w:r w:rsidR="00F90A04">
        <w:t xml:space="preserve"> The survey instrument is provided in </w:t>
      </w:r>
      <w:r w:rsidR="00F90A04" w:rsidRPr="00F91B3C">
        <w:rPr>
          <w:u w:val="single"/>
        </w:rPr>
        <w:t xml:space="preserve">Appendix </w:t>
      </w:r>
      <w:r w:rsidR="00A7740A">
        <w:rPr>
          <w:u w:val="single"/>
        </w:rPr>
        <w:t>C</w:t>
      </w:r>
      <w:r w:rsidR="00F90A04">
        <w:t xml:space="preserve">. In addition to the alumni survey, social media sites such as Facebook and LinkedIn </w:t>
      </w:r>
      <w:r w:rsidR="00A7740A">
        <w:t>a</w:t>
      </w:r>
      <w:r w:rsidR="00F90A04">
        <w:t xml:space="preserve">re also used to determine </w:t>
      </w:r>
      <w:r w:rsidR="00A7740A">
        <w:t>post-</w:t>
      </w:r>
      <w:r w:rsidR="00F90A04">
        <w:t>graduat</w:t>
      </w:r>
      <w:r w:rsidR="00A7740A">
        <w:t>ion</w:t>
      </w:r>
      <w:r w:rsidR="00F90A04">
        <w:t xml:space="preserve"> placement</w:t>
      </w:r>
      <w:r w:rsidR="00A7740A">
        <w:t>s</w:t>
      </w:r>
      <w:r w:rsidR="00F90A04">
        <w:t xml:space="preserve">. </w:t>
      </w:r>
      <w:r w:rsidR="00A7740A">
        <w:t xml:space="preserve">So far, these methods have been implemented in fall 2019 (for spring 2019 graduates) and spring 2020 (for fall 2019 graduates), and we </w:t>
      </w:r>
      <w:r w:rsidR="00F90A04">
        <w:t xml:space="preserve">have seen increased response rates and </w:t>
      </w:r>
      <w:r w:rsidR="00A7740A">
        <w:t>have collected more meaningful and accurate data</w:t>
      </w:r>
      <w:r w:rsidR="00F90A04">
        <w:t>.</w:t>
      </w:r>
      <w:r w:rsidR="00590EC9">
        <w:t xml:space="preserve"> Evidence of this can be seen in the table </w:t>
      </w:r>
      <w:r w:rsidR="00A7740A">
        <w:t>below</w:t>
      </w:r>
      <w:r w:rsidR="00590EC9">
        <w:t>.</w:t>
      </w:r>
    </w:p>
    <w:tbl>
      <w:tblPr>
        <w:tblW w:w="10880" w:type="dxa"/>
        <w:tblInd w:w="-770" w:type="dxa"/>
        <w:tblLook w:val="04A0" w:firstRow="1" w:lastRow="0" w:firstColumn="1" w:lastColumn="0" w:noHBand="0" w:noVBand="1"/>
      </w:tblPr>
      <w:tblGrid>
        <w:gridCol w:w="6700"/>
        <w:gridCol w:w="1480"/>
        <w:gridCol w:w="1300"/>
        <w:gridCol w:w="1400"/>
      </w:tblGrid>
      <w:tr w:rsidR="00B00265" w:rsidRPr="00B00265" w14:paraId="7A29351D" w14:textId="77777777" w:rsidTr="00654B97">
        <w:trPr>
          <w:trHeight w:val="915"/>
        </w:trPr>
        <w:tc>
          <w:tcPr>
            <w:tcW w:w="6700" w:type="dxa"/>
            <w:tcBorders>
              <w:top w:val="single" w:sz="4" w:space="0" w:color="auto"/>
              <w:left w:val="single" w:sz="4" w:space="0" w:color="auto"/>
              <w:bottom w:val="single" w:sz="12" w:space="0" w:color="auto"/>
              <w:right w:val="single" w:sz="4" w:space="0" w:color="auto"/>
            </w:tcBorders>
            <w:shd w:val="clear" w:color="000000" w:fill="D9D9D9"/>
            <w:hideMark/>
          </w:tcPr>
          <w:p w14:paraId="10044F0C" w14:textId="77777777" w:rsidR="00B00265" w:rsidRPr="00B00265" w:rsidRDefault="00B00265" w:rsidP="00B00265">
            <w:pPr>
              <w:spacing w:after="0" w:line="240" w:lineRule="auto"/>
              <w:rPr>
                <w:rFonts w:ascii="Calibri" w:eastAsia="Times New Roman" w:hAnsi="Calibri" w:cs="Calibri"/>
                <w:b/>
                <w:bCs/>
                <w:color w:val="000000"/>
              </w:rPr>
            </w:pPr>
            <w:r w:rsidRPr="00B00265">
              <w:rPr>
                <w:rFonts w:ascii="Calibri" w:eastAsia="Times New Roman" w:hAnsi="Calibri" w:cs="Calibri"/>
                <w:b/>
                <w:bCs/>
                <w:color w:val="000000"/>
              </w:rPr>
              <w:t>Post-Graduation Outcomes</w:t>
            </w:r>
          </w:p>
        </w:tc>
        <w:tc>
          <w:tcPr>
            <w:tcW w:w="1480" w:type="dxa"/>
            <w:tcBorders>
              <w:top w:val="single" w:sz="4" w:space="0" w:color="auto"/>
              <w:left w:val="nil"/>
              <w:bottom w:val="single" w:sz="12" w:space="0" w:color="auto"/>
              <w:right w:val="single" w:sz="4" w:space="0" w:color="auto"/>
            </w:tcBorders>
            <w:shd w:val="clear" w:color="000000" w:fill="D9D9D9"/>
            <w:vAlign w:val="bottom"/>
            <w:hideMark/>
          </w:tcPr>
          <w:p w14:paraId="1059311D" w14:textId="4DBAE0A0" w:rsidR="00B00265" w:rsidRPr="00B00265" w:rsidRDefault="00B00265" w:rsidP="00B00265">
            <w:pPr>
              <w:spacing w:after="0" w:line="240" w:lineRule="auto"/>
              <w:rPr>
                <w:rFonts w:ascii="Calibri" w:eastAsia="Times New Roman" w:hAnsi="Calibri" w:cs="Calibri"/>
                <w:b/>
                <w:bCs/>
                <w:color w:val="000000"/>
              </w:rPr>
            </w:pPr>
            <w:r w:rsidRPr="00B00265">
              <w:rPr>
                <w:rFonts w:ascii="Calibri" w:eastAsia="Times New Roman" w:hAnsi="Calibri" w:cs="Calibri"/>
                <w:b/>
                <w:bCs/>
                <w:color w:val="000000"/>
              </w:rPr>
              <w:t>201</w:t>
            </w:r>
            <w:r>
              <w:rPr>
                <w:rFonts w:ascii="Calibri" w:eastAsia="Times New Roman" w:hAnsi="Calibri" w:cs="Calibri"/>
                <w:b/>
                <w:bCs/>
                <w:color w:val="000000"/>
              </w:rPr>
              <w:t>7</w:t>
            </w:r>
            <w:r w:rsidRPr="00B00265">
              <w:rPr>
                <w:rFonts w:ascii="Calibri" w:eastAsia="Times New Roman" w:hAnsi="Calibri" w:cs="Calibri"/>
                <w:b/>
                <w:bCs/>
                <w:color w:val="000000"/>
              </w:rPr>
              <w:t xml:space="preserve">            Number and percentage</w:t>
            </w:r>
          </w:p>
        </w:tc>
        <w:tc>
          <w:tcPr>
            <w:tcW w:w="1300" w:type="dxa"/>
            <w:tcBorders>
              <w:top w:val="single" w:sz="4" w:space="0" w:color="auto"/>
              <w:left w:val="nil"/>
              <w:bottom w:val="single" w:sz="12" w:space="0" w:color="auto"/>
              <w:right w:val="single" w:sz="4" w:space="0" w:color="auto"/>
            </w:tcBorders>
            <w:shd w:val="clear" w:color="000000" w:fill="D9D9D9"/>
            <w:vAlign w:val="bottom"/>
            <w:hideMark/>
          </w:tcPr>
          <w:p w14:paraId="48BDF063" w14:textId="0F2C2ED4" w:rsidR="00B00265" w:rsidRPr="00B00265" w:rsidRDefault="00B00265" w:rsidP="00B00265">
            <w:pPr>
              <w:spacing w:after="0" w:line="240" w:lineRule="auto"/>
              <w:rPr>
                <w:rFonts w:ascii="Calibri" w:eastAsia="Times New Roman" w:hAnsi="Calibri" w:cs="Calibri"/>
                <w:b/>
                <w:bCs/>
                <w:color w:val="000000"/>
              </w:rPr>
            </w:pPr>
            <w:r w:rsidRPr="00B00265">
              <w:rPr>
                <w:rFonts w:ascii="Calibri" w:eastAsia="Times New Roman" w:hAnsi="Calibri" w:cs="Calibri"/>
                <w:b/>
                <w:bCs/>
                <w:color w:val="000000"/>
              </w:rPr>
              <w:t>201</w:t>
            </w:r>
            <w:r>
              <w:rPr>
                <w:rFonts w:ascii="Calibri" w:eastAsia="Times New Roman" w:hAnsi="Calibri" w:cs="Calibri"/>
                <w:b/>
                <w:bCs/>
                <w:color w:val="000000"/>
              </w:rPr>
              <w:t>8</w:t>
            </w:r>
            <w:r w:rsidRPr="00B00265">
              <w:rPr>
                <w:rFonts w:ascii="Calibri" w:eastAsia="Times New Roman" w:hAnsi="Calibri" w:cs="Calibri"/>
                <w:b/>
                <w:bCs/>
                <w:color w:val="000000"/>
              </w:rPr>
              <w:t xml:space="preserve">            Number and percentage</w:t>
            </w:r>
          </w:p>
        </w:tc>
        <w:tc>
          <w:tcPr>
            <w:tcW w:w="1400" w:type="dxa"/>
            <w:tcBorders>
              <w:top w:val="single" w:sz="4" w:space="0" w:color="auto"/>
              <w:left w:val="nil"/>
              <w:bottom w:val="single" w:sz="12" w:space="0" w:color="auto"/>
              <w:right w:val="single" w:sz="4" w:space="0" w:color="auto"/>
            </w:tcBorders>
            <w:shd w:val="clear" w:color="000000" w:fill="D9D9D9"/>
            <w:vAlign w:val="bottom"/>
            <w:hideMark/>
          </w:tcPr>
          <w:p w14:paraId="39BBF16A" w14:textId="5230E5D9" w:rsidR="00B00265" w:rsidRPr="00B00265" w:rsidRDefault="00B00265" w:rsidP="00B00265">
            <w:pPr>
              <w:spacing w:after="0" w:line="240" w:lineRule="auto"/>
              <w:rPr>
                <w:rFonts w:ascii="Calibri" w:eastAsia="Times New Roman" w:hAnsi="Calibri" w:cs="Calibri"/>
                <w:b/>
                <w:bCs/>
                <w:color w:val="000000"/>
              </w:rPr>
            </w:pPr>
            <w:r w:rsidRPr="00B00265">
              <w:rPr>
                <w:rFonts w:ascii="Calibri" w:eastAsia="Times New Roman" w:hAnsi="Calibri" w:cs="Calibri"/>
                <w:b/>
                <w:bCs/>
                <w:color w:val="000000"/>
              </w:rPr>
              <w:t>20</w:t>
            </w:r>
            <w:r>
              <w:rPr>
                <w:rFonts w:ascii="Calibri" w:eastAsia="Times New Roman" w:hAnsi="Calibri" w:cs="Calibri"/>
                <w:b/>
                <w:bCs/>
                <w:color w:val="000000"/>
              </w:rPr>
              <w:t>19</w:t>
            </w:r>
            <w:r w:rsidRPr="00B00265">
              <w:rPr>
                <w:rFonts w:ascii="Calibri" w:eastAsia="Times New Roman" w:hAnsi="Calibri" w:cs="Calibri"/>
                <w:b/>
                <w:bCs/>
                <w:color w:val="000000"/>
              </w:rPr>
              <w:t xml:space="preserve">            Number and percentage</w:t>
            </w:r>
          </w:p>
        </w:tc>
      </w:tr>
      <w:tr w:rsidR="00B00265" w:rsidRPr="00B00265" w14:paraId="5F15A7A9" w14:textId="77777777" w:rsidTr="00654B97">
        <w:trPr>
          <w:trHeight w:val="315"/>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19E78FED" w14:textId="77777777" w:rsidR="00B00265" w:rsidRPr="00B00265" w:rsidRDefault="00B00265" w:rsidP="00B00265">
            <w:pPr>
              <w:spacing w:after="0" w:line="240" w:lineRule="auto"/>
              <w:rPr>
                <w:rFonts w:ascii="Calibri" w:eastAsia="Times New Roman" w:hAnsi="Calibri" w:cs="Calibri"/>
                <w:color w:val="000000"/>
              </w:rPr>
            </w:pPr>
            <w:r w:rsidRPr="00B00265">
              <w:rPr>
                <w:rFonts w:ascii="Calibri" w:eastAsia="Times New Roman" w:hAnsi="Calibri" w:cs="Calibri"/>
                <w:color w:val="000000"/>
              </w:rPr>
              <w:t>Employed</w:t>
            </w:r>
          </w:p>
        </w:tc>
        <w:tc>
          <w:tcPr>
            <w:tcW w:w="1480" w:type="dxa"/>
            <w:tcBorders>
              <w:top w:val="nil"/>
              <w:left w:val="nil"/>
              <w:bottom w:val="single" w:sz="4" w:space="0" w:color="auto"/>
              <w:right w:val="single" w:sz="4" w:space="0" w:color="auto"/>
            </w:tcBorders>
            <w:shd w:val="clear" w:color="auto" w:fill="auto"/>
            <w:noWrap/>
            <w:vAlign w:val="bottom"/>
          </w:tcPr>
          <w:p w14:paraId="63892A46" w14:textId="22E9D12E" w:rsidR="00B00265" w:rsidRPr="00B00265" w:rsidRDefault="003B3F71" w:rsidP="00B00265">
            <w:pPr>
              <w:spacing w:after="0" w:line="240" w:lineRule="auto"/>
              <w:rPr>
                <w:rFonts w:ascii="Calibri" w:eastAsia="Times New Roman" w:hAnsi="Calibri" w:cs="Calibri"/>
                <w:color w:val="000000"/>
              </w:rPr>
            </w:pPr>
            <w:r>
              <w:rPr>
                <w:rFonts w:ascii="Calibri" w:eastAsia="Times New Roman" w:hAnsi="Calibri" w:cs="Calibri"/>
                <w:color w:val="000000"/>
              </w:rPr>
              <w:t>30</w:t>
            </w:r>
          </w:p>
        </w:tc>
        <w:tc>
          <w:tcPr>
            <w:tcW w:w="1300" w:type="dxa"/>
            <w:tcBorders>
              <w:top w:val="nil"/>
              <w:left w:val="nil"/>
              <w:bottom w:val="single" w:sz="4" w:space="0" w:color="auto"/>
              <w:right w:val="single" w:sz="4" w:space="0" w:color="auto"/>
            </w:tcBorders>
            <w:shd w:val="clear" w:color="auto" w:fill="auto"/>
            <w:noWrap/>
            <w:vAlign w:val="bottom"/>
          </w:tcPr>
          <w:p w14:paraId="20279B98" w14:textId="61A20606" w:rsidR="00B00265" w:rsidRPr="00B00265" w:rsidRDefault="003B3F71" w:rsidP="00B00265">
            <w:pPr>
              <w:spacing w:after="0" w:line="240" w:lineRule="auto"/>
              <w:rPr>
                <w:rFonts w:ascii="Calibri" w:eastAsia="Times New Roman" w:hAnsi="Calibri" w:cs="Calibri"/>
                <w:color w:val="000000"/>
              </w:rPr>
            </w:pPr>
            <w:r>
              <w:rPr>
                <w:rFonts w:ascii="Calibri" w:eastAsia="Times New Roman" w:hAnsi="Calibri" w:cs="Calibri"/>
                <w:color w:val="000000"/>
              </w:rPr>
              <w:t>72</w:t>
            </w:r>
          </w:p>
        </w:tc>
        <w:tc>
          <w:tcPr>
            <w:tcW w:w="1400" w:type="dxa"/>
            <w:tcBorders>
              <w:top w:val="nil"/>
              <w:left w:val="nil"/>
              <w:bottom w:val="single" w:sz="4" w:space="0" w:color="auto"/>
              <w:right w:val="single" w:sz="4" w:space="0" w:color="auto"/>
            </w:tcBorders>
            <w:shd w:val="clear" w:color="auto" w:fill="auto"/>
            <w:noWrap/>
            <w:vAlign w:val="bottom"/>
            <w:hideMark/>
          </w:tcPr>
          <w:p w14:paraId="2A88D9BB" w14:textId="3DC00657" w:rsidR="00B00265" w:rsidRPr="00B00265" w:rsidRDefault="00B00265" w:rsidP="00B00265">
            <w:pPr>
              <w:spacing w:after="0" w:line="240" w:lineRule="auto"/>
              <w:rPr>
                <w:rFonts w:ascii="Calibri" w:eastAsia="Times New Roman" w:hAnsi="Calibri" w:cs="Calibri"/>
                <w:color w:val="000000"/>
              </w:rPr>
            </w:pPr>
            <w:r w:rsidRPr="00B00265">
              <w:rPr>
                <w:rFonts w:ascii="Calibri" w:eastAsia="Times New Roman" w:hAnsi="Calibri" w:cs="Calibri"/>
                <w:color w:val="000000"/>
              </w:rPr>
              <w:t> </w:t>
            </w:r>
            <w:r w:rsidR="0062387C">
              <w:rPr>
                <w:rFonts w:ascii="Calibri" w:eastAsia="Times New Roman" w:hAnsi="Calibri" w:cs="Calibri"/>
                <w:color w:val="000000"/>
              </w:rPr>
              <w:t>39</w:t>
            </w:r>
          </w:p>
        </w:tc>
      </w:tr>
      <w:tr w:rsidR="00B00265" w:rsidRPr="00B00265" w14:paraId="7BE1FBAE" w14:textId="77777777" w:rsidTr="00654B97">
        <w:trPr>
          <w:trHeight w:val="300"/>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5CCDD83B" w14:textId="77777777" w:rsidR="00B00265" w:rsidRPr="00B00265" w:rsidRDefault="00B00265" w:rsidP="00B00265">
            <w:pPr>
              <w:spacing w:after="0" w:line="240" w:lineRule="auto"/>
              <w:rPr>
                <w:rFonts w:ascii="Calibri" w:eastAsia="Times New Roman" w:hAnsi="Calibri" w:cs="Calibri"/>
                <w:color w:val="000000"/>
              </w:rPr>
            </w:pPr>
            <w:r w:rsidRPr="00B00265">
              <w:rPr>
                <w:rFonts w:ascii="Calibri" w:eastAsia="Times New Roman" w:hAnsi="Calibri" w:cs="Calibri"/>
                <w:color w:val="000000"/>
              </w:rPr>
              <w:t>Continuing education/training (not employed)</w:t>
            </w:r>
          </w:p>
        </w:tc>
        <w:tc>
          <w:tcPr>
            <w:tcW w:w="1480" w:type="dxa"/>
            <w:tcBorders>
              <w:top w:val="nil"/>
              <w:left w:val="nil"/>
              <w:bottom w:val="single" w:sz="4" w:space="0" w:color="auto"/>
              <w:right w:val="single" w:sz="4" w:space="0" w:color="auto"/>
            </w:tcBorders>
            <w:shd w:val="clear" w:color="auto" w:fill="auto"/>
            <w:noWrap/>
            <w:vAlign w:val="bottom"/>
          </w:tcPr>
          <w:p w14:paraId="5FED4778" w14:textId="7F0A95D1" w:rsidR="00B00265" w:rsidRPr="00B00265" w:rsidRDefault="003B3F71" w:rsidP="00B00265">
            <w:pPr>
              <w:spacing w:after="0" w:line="240" w:lineRule="auto"/>
              <w:rPr>
                <w:rFonts w:ascii="Calibri" w:eastAsia="Times New Roman" w:hAnsi="Calibri" w:cs="Calibri"/>
                <w:color w:val="000000"/>
              </w:rPr>
            </w:pPr>
            <w:r>
              <w:rPr>
                <w:rFonts w:ascii="Calibri" w:eastAsia="Times New Roman" w:hAnsi="Calibri" w:cs="Calibri"/>
                <w:color w:val="000000"/>
              </w:rPr>
              <w:t>5</w:t>
            </w:r>
          </w:p>
        </w:tc>
        <w:tc>
          <w:tcPr>
            <w:tcW w:w="1300" w:type="dxa"/>
            <w:tcBorders>
              <w:top w:val="nil"/>
              <w:left w:val="nil"/>
              <w:bottom w:val="single" w:sz="4" w:space="0" w:color="auto"/>
              <w:right w:val="single" w:sz="4" w:space="0" w:color="auto"/>
            </w:tcBorders>
            <w:shd w:val="clear" w:color="auto" w:fill="auto"/>
            <w:noWrap/>
            <w:vAlign w:val="bottom"/>
          </w:tcPr>
          <w:p w14:paraId="2CDB9FFC" w14:textId="3A2B47BF" w:rsidR="00B00265" w:rsidRPr="00B00265" w:rsidRDefault="003B3F71" w:rsidP="00B00265">
            <w:pPr>
              <w:spacing w:after="0" w:line="240" w:lineRule="auto"/>
              <w:rPr>
                <w:rFonts w:ascii="Calibri" w:eastAsia="Times New Roman" w:hAnsi="Calibri" w:cs="Calibri"/>
                <w:color w:val="000000"/>
              </w:rPr>
            </w:pPr>
            <w:r>
              <w:rPr>
                <w:rFonts w:ascii="Calibri" w:eastAsia="Times New Roman" w:hAnsi="Calibri" w:cs="Calibri"/>
                <w:color w:val="000000"/>
              </w:rPr>
              <w:t>12</w:t>
            </w:r>
          </w:p>
        </w:tc>
        <w:tc>
          <w:tcPr>
            <w:tcW w:w="1400" w:type="dxa"/>
            <w:tcBorders>
              <w:top w:val="nil"/>
              <w:left w:val="nil"/>
              <w:bottom w:val="single" w:sz="4" w:space="0" w:color="auto"/>
              <w:right w:val="single" w:sz="4" w:space="0" w:color="auto"/>
            </w:tcBorders>
            <w:shd w:val="clear" w:color="auto" w:fill="auto"/>
            <w:noWrap/>
            <w:vAlign w:val="bottom"/>
            <w:hideMark/>
          </w:tcPr>
          <w:p w14:paraId="009554C7" w14:textId="0AC01B30" w:rsidR="00B00265" w:rsidRPr="00B00265" w:rsidRDefault="00B00265" w:rsidP="00B00265">
            <w:pPr>
              <w:spacing w:after="0" w:line="240" w:lineRule="auto"/>
              <w:rPr>
                <w:rFonts w:ascii="Calibri" w:eastAsia="Times New Roman" w:hAnsi="Calibri" w:cs="Calibri"/>
                <w:color w:val="000000"/>
              </w:rPr>
            </w:pPr>
            <w:r w:rsidRPr="00B00265">
              <w:rPr>
                <w:rFonts w:ascii="Calibri" w:eastAsia="Times New Roman" w:hAnsi="Calibri" w:cs="Calibri"/>
                <w:color w:val="000000"/>
              </w:rPr>
              <w:t> </w:t>
            </w:r>
            <w:r w:rsidR="0062387C">
              <w:rPr>
                <w:rFonts w:ascii="Calibri" w:eastAsia="Times New Roman" w:hAnsi="Calibri" w:cs="Calibri"/>
                <w:color w:val="000000"/>
              </w:rPr>
              <w:t>3</w:t>
            </w:r>
          </w:p>
        </w:tc>
      </w:tr>
      <w:tr w:rsidR="00B00265" w:rsidRPr="00B00265" w14:paraId="0680C934" w14:textId="77777777" w:rsidTr="00654B97">
        <w:trPr>
          <w:trHeight w:val="300"/>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2781348E" w14:textId="77777777" w:rsidR="00B00265" w:rsidRPr="00B00265" w:rsidRDefault="00B00265" w:rsidP="00B00265">
            <w:pPr>
              <w:spacing w:after="0" w:line="240" w:lineRule="auto"/>
              <w:rPr>
                <w:rFonts w:ascii="Calibri" w:eastAsia="Times New Roman" w:hAnsi="Calibri" w:cs="Calibri"/>
                <w:color w:val="000000"/>
              </w:rPr>
            </w:pPr>
            <w:r w:rsidRPr="00B00265">
              <w:rPr>
                <w:rFonts w:ascii="Calibri" w:eastAsia="Times New Roman" w:hAnsi="Calibri" w:cs="Calibri"/>
                <w:color w:val="000000"/>
              </w:rPr>
              <w:t>Not seeking employment or not seeking additional education by choice</w:t>
            </w:r>
          </w:p>
        </w:tc>
        <w:tc>
          <w:tcPr>
            <w:tcW w:w="1480" w:type="dxa"/>
            <w:tcBorders>
              <w:top w:val="nil"/>
              <w:left w:val="nil"/>
              <w:bottom w:val="single" w:sz="4" w:space="0" w:color="auto"/>
              <w:right w:val="single" w:sz="4" w:space="0" w:color="auto"/>
            </w:tcBorders>
            <w:shd w:val="clear" w:color="auto" w:fill="auto"/>
            <w:noWrap/>
            <w:vAlign w:val="bottom"/>
          </w:tcPr>
          <w:p w14:paraId="22C9F1A5" w14:textId="54227766" w:rsidR="00B00265" w:rsidRPr="00B00265" w:rsidRDefault="003B3F71" w:rsidP="00B00265">
            <w:pPr>
              <w:spacing w:after="0" w:line="240" w:lineRule="auto"/>
              <w:rPr>
                <w:rFonts w:ascii="Calibri" w:eastAsia="Times New Roman" w:hAnsi="Calibri" w:cs="Calibri"/>
                <w:color w:val="000000"/>
              </w:rPr>
            </w:pPr>
            <w:r>
              <w:rPr>
                <w:rFonts w:ascii="Calibri" w:eastAsia="Times New Roman" w:hAnsi="Calibri" w:cs="Calibri"/>
                <w:color w:val="000000"/>
              </w:rPr>
              <w:t>1</w:t>
            </w:r>
          </w:p>
        </w:tc>
        <w:tc>
          <w:tcPr>
            <w:tcW w:w="1300" w:type="dxa"/>
            <w:tcBorders>
              <w:top w:val="nil"/>
              <w:left w:val="nil"/>
              <w:bottom w:val="single" w:sz="4" w:space="0" w:color="auto"/>
              <w:right w:val="single" w:sz="4" w:space="0" w:color="auto"/>
            </w:tcBorders>
            <w:shd w:val="clear" w:color="auto" w:fill="auto"/>
            <w:noWrap/>
            <w:vAlign w:val="bottom"/>
          </w:tcPr>
          <w:p w14:paraId="38481A6A" w14:textId="296C4C05" w:rsidR="00B00265" w:rsidRPr="00B00265" w:rsidRDefault="003B3F71" w:rsidP="00B00265">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400" w:type="dxa"/>
            <w:tcBorders>
              <w:top w:val="nil"/>
              <w:left w:val="nil"/>
              <w:bottom w:val="single" w:sz="4" w:space="0" w:color="auto"/>
              <w:right w:val="single" w:sz="4" w:space="0" w:color="auto"/>
            </w:tcBorders>
            <w:shd w:val="clear" w:color="auto" w:fill="auto"/>
            <w:noWrap/>
            <w:vAlign w:val="bottom"/>
            <w:hideMark/>
          </w:tcPr>
          <w:p w14:paraId="412A1552" w14:textId="06DFC347" w:rsidR="00B00265" w:rsidRPr="00B00265" w:rsidRDefault="00B00265" w:rsidP="00B00265">
            <w:pPr>
              <w:spacing w:after="0" w:line="240" w:lineRule="auto"/>
              <w:rPr>
                <w:rFonts w:ascii="Calibri" w:eastAsia="Times New Roman" w:hAnsi="Calibri" w:cs="Calibri"/>
                <w:color w:val="000000"/>
              </w:rPr>
            </w:pPr>
            <w:r w:rsidRPr="00B00265">
              <w:rPr>
                <w:rFonts w:ascii="Calibri" w:eastAsia="Times New Roman" w:hAnsi="Calibri" w:cs="Calibri"/>
                <w:color w:val="000000"/>
              </w:rPr>
              <w:t> </w:t>
            </w:r>
            <w:r w:rsidR="0062387C">
              <w:rPr>
                <w:rFonts w:ascii="Calibri" w:eastAsia="Times New Roman" w:hAnsi="Calibri" w:cs="Calibri"/>
                <w:color w:val="000000"/>
              </w:rPr>
              <w:t>0</w:t>
            </w:r>
          </w:p>
        </w:tc>
      </w:tr>
      <w:tr w:rsidR="00B00265" w:rsidRPr="00B00265" w14:paraId="39C42B59" w14:textId="77777777" w:rsidTr="00654B97">
        <w:trPr>
          <w:trHeight w:val="300"/>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15B37E46" w14:textId="77777777" w:rsidR="00B00265" w:rsidRPr="00B00265" w:rsidRDefault="00B00265" w:rsidP="00B00265">
            <w:pPr>
              <w:spacing w:after="0" w:line="240" w:lineRule="auto"/>
              <w:rPr>
                <w:rFonts w:ascii="Calibri" w:eastAsia="Times New Roman" w:hAnsi="Calibri" w:cs="Calibri"/>
                <w:color w:val="000000"/>
              </w:rPr>
            </w:pPr>
            <w:r w:rsidRPr="00B00265">
              <w:rPr>
                <w:rFonts w:ascii="Calibri" w:eastAsia="Times New Roman" w:hAnsi="Calibri" w:cs="Calibri"/>
                <w:color w:val="000000"/>
              </w:rPr>
              <w:t>Actively seeking employment or enrollment in further education</w:t>
            </w:r>
          </w:p>
        </w:tc>
        <w:tc>
          <w:tcPr>
            <w:tcW w:w="1480" w:type="dxa"/>
            <w:tcBorders>
              <w:top w:val="nil"/>
              <w:left w:val="nil"/>
              <w:bottom w:val="single" w:sz="4" w:space="0" w:color="auto"/>
              <w:right w:val="single" w:sz="4" w:space="0" w:color="auto"/>
            </w:tcBorders>
            <w:shd w:val="clear" w:color="auto" w:fill="auto"/>
            <w:noWrap/>
            <w:vAlign w:val="bottom"/>
          </w:tcPr>
          <w:p w14:paraId="2200079E" w14:textId="494B634A" w:rsidR="00B00265" w:rsidRPr="00B00265" w:rsidRDefault="003B3F71" w:rsidP="00B00265">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300" w:type="dxa"/>
            <w:tcBorders>
              <w:top w:val="nil"/>
              <w:left w:val="nil"/>
              <w:bottom w:val="single" w:sz="4" w:space="0" w:color="auto"/>
              <w:right w:val="single" w:sz="4" w:space="0" w:color="auto"/>
            </w:tcBorders>
            <w:shd w:val="clear" w:color="auto" w:fill="auto"/>
            <w:noWrap/>
            <w:vAlign w:val="bottom"/>
          </w:tcPr>
          <w:p w14:paraId="7630F71C" w14:textId="3AAD294B" w:rsidR="00B00265" w:rsidRPr="00B00265" w:rsidRDefault="003B3F71" w:rsidP="00B00265">
            <w:pPr>
              <w:spacing w:after="0" w:line="240" w:lineRule="auto"/>
              <w:rPr>
                <w:rFonts w:ascii="Calibri" w:eastAsia="Times New Roman" w:hAnsi="Calibri" w:cs="Calibri"/>
                <w:color w:val="000000"/>
              </w:rPr>
            </w:pPr>
            <w:r>
              <w:rPr>
                <w:rFonts w:ascii="Calibri" w:eastAsia="Times New Roman" w:hAnsi="Calibri" w:cs="Calibri"/>
                <w:color w:val="000000"/>
              </w:rPr>
              <w:t>0</w:t>
            </w:r>
          </w:p>
        </w:tc>
        <w:tc>
          <w:tcPr>
            <w:tcW w:w="1400" w:type="dxa"/>
            <w:tcBorders>
              <w:top w:val="nil"/>
              <w:left w:val="nil"/>
              <w:bottom w:val="single" w:sz="4" w:space="0" w:color="auto"/>
              <w:right w:val="single" w:sz="4" w:space="0" w:color="auto"/>
            </w:tcBorders>
            <w:shd w:val="clear" w:color="auto" w:fill="auto"/>
            <w:noWrap/>
            <w:vAlign w:val="bottom"/>
            <w:hideMark/>
          </w:tcPr>
          <w:p w14:paraId="4F84EEA6" w14:textId="51532F2B" w:rsidR="00B00265" w:rsidRPr="00B00265" w:rsidRDefault="00B00265" w:rsidP="00B00265">
            <w:pPr>
              <w:spacing w:after="0" w:line="240" w:lineRule="auto"/>
              <w:rPr>
                <w:rFonts w:ascii="Calibri" w:eastAsia="Times New Roman" w:hAnsi="Calibri" w:cs="Calibri"/>
                <w:color w:val="000000"/>
              </w:rPr>
            </w:pPr>
            <w:r w:rsidRPr="00B00265">
              <w:rPr>
                <w:rFonts w:ascii="Calibri" w:eastAsia="Times New Roman" w:hAnsi="Calibri" w:cs="Calibri"/>
                <w:color w:val="000000"/>
              </w:rPr>
              <w:t> </w:t>
            </w:r>
            <w:r w:rsidR="0062387C">
              <w:rPr>
                <w:rFonts w:ascii="Calibri" w:eastAsia="Times New Roman" w:hAnsi="Calibri" w:cs="Calibri"/>
                <w:color w:val="000000"/>
              </w:rPr>
              <w:t>3</w:t>
            </w:r>
          </w:p>
        </w:tc>
      </w:tr>
      <w:tr w:rsidR="00B00265" w:rsidRPr="00B00265" w14:paraId="6FECF93E" w14:textId="77777777" w:rsidTr="00654B97">
        <w:trPr>
          <w:trHeight w:val="300"/>
        </w:trPr>
        <w:tc>
          <w:tcPr>
            <w:tcW w:w="6700" w:type="dxa"/>
            <w:tcBorders>
              <w:top w:val="nil"/>
              <w:left w:val="single" w:sz="4" w:space="0" w:color="auto"/>
              <w:bottom w:val="single" w:sz="4" w:space="0" w:color="auto"/>
              <w:right w:val="single" w:sz="4" w:space="0" w:color="auto"/>
            </w:tcBorders>
            <w:shd w:val="clear" w:color="auto" w:fill="auto"/>
            <w:noWrap/>
            <w:vAlign w:val="bottom"/>
            <w:hideMark/>
          </w:tcPr>
          <w:p w14:paraId="35BFD564" w14:textId="77777777" w:rsidR="00B00265" w:rsidRPr="00B00265" w:rsidRDefault="00B00265" w:rsidP="00B00265">
            <w:pPr>
              <w:spacing w:after="0" w:line="240" w:lineRule="auto"/>
              <w:rPr>
                <w:rFonts w:ascii="Calibri" w:eastAsia="Times New Roman" w:hAnsi="Calibri" w:cs="Calibri"/>
                <w:color w:val="000000"/>
              </w:rPr>
            </w:pPr>
            <w:r w:rsidRPr="00B00265">
              <w:rPr>
                <w:rFonts w:ascii="Calibri" w:eastAsia="Times New Roman" w:hAnsi="Calibri" w:cs="Calibri"/>
                <w:color w:val="000000"/>
              </w:rPr>
              <w:t>Unknown</w:t>
            </w:r>
          </w:p>
        </w:tc>
        <w:tc>
          <w:tcPr>
            <w:tcW w:w="1480" w:type="dxa"/>
            <w:tcBorders>
              <w:top w:val="nil"/>
              <w:left w:val="nil"/>
              <w:bottom w:val="single" w:sz="4" w:space="0" w:color="auto"/>
              <w:right w:val="single" w:sz="4" w:space="0" w:color="auto"/>
            </w:tcBorders>
            <w:shd w:val="clear" w:color="auto" w:fill="auto"/>
            <w:noWrap/>
            <w:vAlign w:val="bottom"/>
            <w:hideMark/>
          </w:tcPr>
          <w:p w14:paraId="1B6A31ED" w14:textId="333687BF" w:rsidR="00B00265" w:rsidRPr="00B00265" w:rsidRDefault="003B3F71" w:rsidP="00B00265">
            <w:pPr>
              <w:spacing w:after="0" w:line="240" w:lineRule="auto"/>
              <w:rPr>
                <w:rFonts w:ascii="Calibri" w:eastAsia="Times New Roman" w:hAnsi="Calibri" w:cs="Calibri"/>
                <w:color w:val="000000"/>
              </w:rPr>
            </w:pPr>
            <w:r>
              <w:rPr>
                <w:rFonts w:ascii="Calibri" w:eastAsia="Times New Roman" w:hAnsi="Calibri" w:cs="Calibri"/>
                <w:color w:val="000000"/>
              </w:rPr>
              <w:t>103</w:t>
            </w:r>
          </w:p>
        </w:tc>
        <w:tc>
          <w:tcPr>
            <w:tcW w:w="1300" w:type="dxa"/>
            <w:tcBorders>
              <w:top w:val="nil"/>
              <w:left w:val="nil"/>
              <w:bottom w:val="single" w:sz="4" w:space="0" w:color="auto"/>
              <w:right w:val="single" w:sz="4" w:space="0" w:color="auto"/>
            </w:tcBorders>
            <w:shd w:val="clear" w:color="auto" w:fill="auto"/>
            <w:noWrap/>
            <w:vAlign w:val="bottom"/>
            <w:hideMark/>
          </w:tcPr>
          <w:p w14:paraId="540A0758" w14:textId="056675D3" w:rsidR="00B00265" w:rsidRPr="00B00265" w:rsidRDefault="00B00265" w:rsidP="00B00265">
            <w:pPr>
              <w:spacing w:after="0" w:line="240" w:lineRule="auto"/>
              <w:rPr>
                <w:rFonts w:ascii="Calibri" w:eastAsia="Times New Roman" w:hAnsi="Calibri" w:cs="Calibri"/>
                <w:color w:val="000000"/>
              </w:rPr>
            </w:pPr>
            <w:r w:rsidRPr="00B00265">
              <w:rPr>
                <w:rFonts w:ascii="Calibri" w:eastAsia="Times New Roman" w:hAnsi="Calibri" w:cs="Calibri"/>
                <w:color w:val="000000"/>
              </w:rPr>
              <w:t> </w:t>
            </w:r>
            <w:r w:rsidR="003B3F71">
              <w:rPr>
                <w:rFonts w:ascii="Calibri" w:eastAsia="Times New Roman" w:hAnsi="Calibri" w:cs="Calibri"/>
                <w:color w:val="000000"/>
              </w:rPr>
              <w:t>48</w:t>
            </w:r>
          </w:p>
        </w:tc>
        <w:tc>
          <w:tcPr>
            <w:tcW w:w="1400" w:type="dxa"/>
            <w:tcBorders>
              <w:top w:val="nil"/>
              <w:left w:val="nil"/>
              <w:bottom w:val="single" w:sz="4" w:space="0" w:color="auto"/>
              <w:right w:val="single" w:sz="4" w:space="0" w:color="auto"/>
            </w:tcBorders>
            <w:shd w:val="clear" w:color="auto" w:fill="auto"/>
            <w:noWrap/>
            <w:vAlign w:val="bottom"/>
            <w:hideMark/>
          </w:tcPr>
          <w:p w14:paraId="1FC8A84B" w14:textId="7F455D2F" w:rsidR="00B00265" w:rsidRPr="00B00265" w:rsidRDefault="00B00265" w:rsidP="00B00265">
            <w:pPr>
              <w:spacing w:after="0" w:line="240" w:lineRule="auto"/>
              <w:rPr>
                <w:rFonts w:ascii="Calibri" w:eastAsia="Times New Roman" w:hAnsi="Calibri" w:cs="Calibri"/>
                <w:color w:val="000000"/>
              </w:rPr>
            </w:pPr>
            <w:r w:rsidRPr="00B00265">
              <w:rPr>
                <w:rFonts w:ascii="Calibri" w:eastAsia="Times New Roman" w:hAnsi="Calibri" w:cs="Calibri"/>
                <w:color w:val="000000"/>
              </w:rPr>
              <w:t> </w:t>
            </w:r>
            <w:r w:rsidR="0062387C">
              <w:rPr>
                <w:rFonts w:ascii="Calibri" w:eastAsia="Times New Roman" w:hAnsi="Calibri" w:cs="Calibri"/>
                <w:color w:val="000000"/>
              </w:rPr>
              <w:t>7</w:t>
            </w:r>
          </w:p>
        </w:tc>
      </w:tr>
      <w:tr w:rsidR="00B00265" w:rsidRPr="00B00265" w14:paraId="7582A2B6" w14:textId="77777777" w:rsidTr="00654B97">
        <w:trPr>
          <w:trHeight w:val="315"/>
        </w:trPr>
        <w:tc>
          <w:tcPr>
            <w:tcW w:w="6700" w:type="dxa"/>
            <w:tcBorders>
              <w:top w:val="nil"/>
              <w:left w:val="single" w:sz="4" w:space="0" w:color="auto"/>
              <w:bottom w:val="single" w:sz="12" w:space="0" w:color="auto"/>
              <w:right w:val="single" w:sz="4" w:space="0" w:color="auto"/>
            </w:tcBorders>
            <w:shd w:val="clear" w:color="auto" w:fill="auto"/>
            <w:noWrap/>
            <w:vAlign w:val="bottom"/>
            <w:hideMark/>
          </w:tcPr>
          <w:p w14:paraId="7122C1F9" w14:textId="77777777" w:rsidR="00B00265" w:rsidRPr="00B00265" w:rsidRDefault="00B00265" w:rsidP="00B00265">
            <w:pPr>
              <w:spacing w:after="0" w:line="240" w:lineRule="auto"/>
              <w:rPr>
                <w:rFonts w:ascii="Calibri" w:eastAsia="Times New Roman" w:hAnsi="Calibri" w:cs="Calibri"/>
                <w:b/>
                <w:bCs/>
                <w:color w:val="000000"/>
              </w:rPr>
            </w:pPr>
            <w:r w:rsidRPr="00B00265">
              <w:rPr>
                <w:rFonts w:ascii="Calibri" w:eastAsia="Times New Roman" w:hAnsi="Calibri" w:cs="Calibri"/>
                <w:b/>
                <w:bCs/>
                <w:color w:val="000000"/>
              </w:rPr>
              <w:t>Total graduates (known + unknown)</w:t>
            </w:r>
          </w:p>
        </w:tc>
        <w:tc>
          <w:tcPr>
            <w:tcW w:w="1480" w:type="dxa"/>
            <w:tcBorders>
              <w:top w:val="nil"/>
              <w:left w:val="nil"/>
              <w:bottom w:val="single" w:sz="12" w:space="0" w:color="auto"/>
              <w:right w:val="single" w:sz="4" w:space="0" w:color="auto"/>
            </w:tcBorders>
            <w:shd w:val="clear" w:color="auto" w:fill="auto"/>
            <w:noWrap/>
            <w:vAlign w:val="bottom"/>
          </w:tcPr>
          <w:p w14:paraId="5D785070" w14:textId="1ED09B41" w:rsidR="00B00265" w:rsidRPr="00B00265" w:rsidRDefault="00B00265" w:rsidP="00B00265">
            <w:pPr>
              <w:spacing w:after="0" w:line="240" w:lineRule="auto"/>
              <w:rPr>
                <w:rFonts w:ascii="Calibri" w:eastAsia="Times New Roman" w:hAnsi="Calibri" w:cs="Calibri"/>
                <w:color w:val="000000"/>
              </w:rPr>
            </w:pPr>
            <w:r>
              <w:rPr>
                <w:rFonts w:ascii="Calibri" w:eastAsia="Times New Roman" w:hAnsi="Calibri" w:cs="Calibri"/>
                <w:color w:val="000000"/>
              </w:rPr>
              <w:t>139</w:t>
            </w:r>
          </w:p>
        </w:tc>
        <w:tc>
          <w:tcPr>
            <w:tcW w:w="1300" w:type="dxa"/>
            <w:tcBorders>
              <w:top w:val="nil"/>
              <w:left w:val="nil"/>
              <w:bottom w:val="single" w:sz="12" w:space="0" w:color="auto"/>
              <w:right w:val="single" w:sz="4" w:space="0" w:color="auto"/>
            </w:tcBorders>
            <w:shd w:val="clear" w:color="auto" w:fill="auto"/>
            <w:noWrap/>
            <w:vAlign w:val="bottom"/>
            <w:hideMark/>
          </w:tcPr>
          <w:p w14:paraId="6BB2B093" w14:textId="4F395797" w:rsidR="00B00265" w:rsidRPr="00B00265" w:rsidRDefault="00B00265" w:rsidP="00B00265">
            <w:pPr>
              <w:spacing w:after="0" w:line="240" w:lineRule="auto"/>
              <w:rPr>
                <w:rFonts w:ascii="Calibri" w:eastAsia="Times New Roman" w:hAnsi="Calibri" w:cs="Calibri"/>
                <w:color w:val="000000"/>
              </w:rPr>
            </w:pPr>
            <w:r w:rsidRPr="00B00265">
              <w:rPr>
                <w:rFonts w:ascii="Calibri" w:eastAsia="Times New Roman" w:hAnsi="Calibri" w:cs="Calibri"/>
                <w:color w:val="000000"/>
              </w:rPr>
              <w:t> </w:t>
            </w:r>
            <w:r>
              <w:rPr>
                <w:rFonts w:ascii="Calibri" w:eastAsia="Times New Roman" w:hAnsi="Calibri" w:cs="Calibri"/>
                <w:color w:val="000000"/>
              </w:rPr>
              <w:t>133</w:t>
            </w:r>
          </w:p>
        </w:tc>
        <w:tc>
          <w:tcPr>
            <w:tcW w:w="1400" w:type="dxa"/>
            <w:tcBorders>
              <w:top w:val="nil"/>
              <w:left w:val="nil"/>
              <w:bottom w:val="single" w:sz="12" w:space="0" w:color="auto"/>
              <w:right w:val="single" w:sz="4" w:space="0" w:color="auto"/>
            </w:tcBorders>
            <w:shd w:val="clear" w:color="auto" w:fill="auto"/>
            <w:noWrap/>
            <w:vAlign w:val="bottom"/>
            <w:hideMark/>
          </w:tcPr>
          <w:p w14:paraId="412CFA14" w14:textId="7805F996" w:rsidR="00B00265" w:rsidRPr="00B00265" w:rsidRDefault="00B00265" w:rsidP="00B00265">
            <w:pPr>
              <w:spacing w:after="0" w:line="240" w:lineRule="auto"/>
              <w:rPr>
                <w:rFonts w:ascii="Calibri" w:eastAsia="Times New Roman" w:hAnsi="Calibri" w:cs="Calibri"/>
                <w:color w:val="000000"/>
              </w:rPr>
            </w:pPr>
            <w:r w:rsidRPr="00B00265">
              <w:rPr>
                <w:rFonts w:ascii="Calibri" w:eastAsia="Times New Roman" w:hAnsi="Calibri" w:cs="Calibri"/>
                <w:color w:val="000000"/>
              </w:rPr>
              <w:t> </w:t>
            </w:r>
            <w:r>
              <w:rPr>
                <w:rFonts w:ascii="Calibri" w:eastAsia="Times New Roman" w:hAnsi="Calibri" w:cs="Calibri"/>
                <w:color w:val="000000"/>
              </w:rPr>
              <w:t>52 (fall 2019 only)</w:t>
            </w:r>
          </w:p>
        </w:tc>
      </w:tr>
    </w:tbl>
    <w:p w14:paraId="359A844A" w14:textId="008DB061" w:rsidR="00B00265" w:rsidRDefault="00B00265" w:rsidP="00F91B3C">
      <w:pPr>
        <w:ind w:left="720"/>
        <w:rPr>
          <w:b/>
        </w:rPr>
      </w:pPr>
    </w:p>
    <w:p w14:paraId="56B4387A" w14:textId="77777777" w:rsidR="00B00265" w:rsidRPr="00F91B3C" w:rsidRDefault="00B00265" w:rsidP="00F91B3C">
      <w:pPr>
        <w:ind w:left="720"/>
        <w:rPr>
          <w:b/>
        </w:rPr>
      </w:pPr>
    </w:p>
    <w:p w14:paraId="30A6E188" w14:textId="77777777" w:rsidR="00F90A04" w:rsidRDefault="00F90A04" w:rsidP="00F90A04">
      <w:pPr>
        <w:rPr>
          <w:b/>
        </w:rPr>
      </w:pPr>
    </w:p>
    <w:p w14:paraId="42FC23A6" w14:textId="77777777" w:rsidR="00A7740A" w:rsidRPr="00F90A04" w:rsidRDefault="00A7740A" w:rsidP="00F90A04">
      <w:pPr>
        <w:rPr>
          <w:b/>
        </w:rPr>
      </w:pPr>
    </w:p>
    <w:p w14:paraId="62038247" w14:textId="2D5FD905" w:rsidR="002370DD" w:rsidRDefault="00261B55" w:rsidP="002370DD">
      <w:pPr>
        <w:pStyle w:val="ListParagraph"/>
        <w:numPr>
          <w:ilvl w:val="0"/>
          <w:numId w:val="1"/>
        </w:numPr>
        <w:rPr>
          <w:b/>
        </w:rPr>
      </w:pPr>
      <w:r>
        <w:rPr>
          <w:b/>
        </w:rPr>
        <w:t>I</w:t>
      </w:r>
      <w:r w:rsidR="00CB229A">
        <w:rPr>
          <w:b/>
        </w:rPr>
        <w:t>mplement</w:t>
      </w:r>
      <w:r>
        <w:rPr>
          <w:b/>
        </w:rPr>
        <w:t>ed</w:t>
      </w:r>
      <w:r w:rsidR="00CB229A">
        <w:rPr>
          <w:b/>
        </w:rPr>
        <w:t xml:space="preserve"> practices to ensure that at least 70% of students complete the BSPH degree wi</w:t>
      </w:r>
      <w:r>
        <w:rPr>
          <w:b/>
        </w:rPr>
        <w:t>thin the maximum allowable time</w:t>
      </w:r>
    </w:p>
    <w:p w14:paraId="4E7ADA7F" w14:textId="45050AEE" w:rsidR="00261B55" w:rsidRDefault="00CB229A" w:rsidP="00100D11">
      <w:pPr>
        <w:ind w:left="360"/>
      </w:pPr>
      <w:r w:rsidRPr="00CB229A">
        <w:t>While graduat</w:t>
      </w:r>
      <w:r w:rsidR="00261B55">
        <w:t>ion</w:t>
      </w:r>
      <w:r w:rsidRPr="00CB229A">
        <w:t xml:space="preserve"> rates for the BSPH</w:t>
      </w:r>
      <w:r w:rsidR="00261B55">
        <w:t xml:space="preserve"> </w:t>
      </w:r>
      <w:r w:rsidRPr="00CB229A">
        <w:t xml:space="preserve">were below the target range during prior cycles, the outlook for these rates has improves substantially over the past 18 months. </w:t>
      </w:r>
      <w:r w:rsidR="0046778E">
        <w:t>A table showing the increase in</w:t>
      </w:r>
      <w:r w:rsidR="00261B55">
        <w:t xml:space="preserve"> student retention and graduation</w:t>
      </w:r>
      <w:r w:rsidR="0046778E">
        <w:t xml:space="preserve"> rates is attached as </w:t>
      </w:r>
      <w:r w:rsidR="0046778E" w:rsidRPr="0046778E">
        <w:rPr>
          <w:u w:val="single"/>
        </w:rPr>
        <w:t>Appendix D</w:t>
      </w:r>
      <w:r w:rsidR="0046778E">
        <w:t xml:space="preserve">. </w:t>
      </w:r>
      <w:r w:rsidR="00100D11">
        <w:t>Th</w:t>
      </w:r>
      <w:r w:rsidR="00261B55">
        <w:t>ese</w:t>
      </w:r>
      <w:r w:rsidR="00100D11">
        <w:t xml:space="preserve"> </w:t>
      </w:r>
      <w:r w:rsidR="00261B55">
        <w:t>improvements</w:t>
      </w:r>
      <w:r w:rsidR="00100D11">
        <w:t xml:space="preserve"> can be attributed to two efforts implemented by the </w:t>
      </w:r>
      <w:r w:rsidR="00261B55">
        <w:t>program:</w:t>
      </w:r>
    </w:p>
    <w:p w14:paraId="7921AEC4" w14:textId="77777777" w:rsidR="00261B55" w:rsidRDefault="00261B55" w:rsidP="00261B55">
      <w:pPr>
        <w:pStyle w:val="ListParagraph"/>
        <w:numPr>
          <w:ilvl w:val="1"/>
          <w:numId w:val="1"/>
        </w:numPr>
        <w:ind w:left="1080"/>
      </w:pPr>
      <w:r>
        <w:t>W</w:t>
      </w:r>
      <w:r w:rsidR="00100D11">
        <w:t xml:space="preserve">e have started </w:t>
      </w:r>
      <w:r>
        <w:t xml:space="preserve">officially </w:t>
      </w:r>
      <w:r w:rsidR="00100D11">
        <w:t>cou</w:t>
      </w:r>
      <w:r>
        <w:t xml:space="preserve">nting </w:t>
      </w:r>
      <w:r w:rsidR="00100D11">
        <w:t xml:space="preserve">students in a cohort </w:t>
      </w:r>
      <w:r>
        <w:t>when</w:t>
      </w:r>
      <w:r w:rsidR="00100D11">
        <w:t xml:space="preserve"> they have reached </w:t>
      </w:r>
      <w:r>
        <w:t>junior status (or 60</w:t>
      </w:r>
      <w:r w:rsidR="00100D11">
        <w:t xml:space="preserve"> credits</w:t>
      </w:r>
      <w:r>
        <w:t>) rather than as freshman</w:t>
      </w:r>
      <w:r w:rsidR="00100D11">
        <w:t>.</w:t>
      </w:r>
    </w:p>
    <w:p w14:paraId="360154E1" w14:textId="0E634C28" w:rsidR="00100D11" w:rsidRDefault="00261B55" w:rsidP="00261B55">
      <w:pPr>
        <w:pStyle w:val="ListParagraph"/>
        <w:numPr>
          <w:ilvl w:val="1"/>
          <w:numId w:val="1"/>
        </w:numPr>
        <w:ind w:left="1080"/>
      </w:pPr>
      <w:r>
        <w:t xml:space="preserve">We </w:t>
      </w:r>
      <w:r w:rsidR="00C21FE4">
        <w:t>ha</w:t>
      </w:r>
      <w:r>
        <w:t>ve</w:t>
      </w:r>
      <w:r w:rsidR="00C21FE4">
        <w:t xml:space="preserve"> adopted a protocol to increase advising touchpoints </w:t>
      </w:r>
      <w:r w:rsidR="0046778E">
        <w:t>for all students and increased</w:t>
      </w:r>
      <w:r w:rsidR="00C21FE4">
        <w:t xml:space="preserve"> student support for students who may be falling behind or </w:t>
      </w:r>
      <w:r w:rsidR="0046778E">
        <w:t xml:space="preserve">who have extenuating life circumstances. The protocol </w:t>
      </w:r>
      <w:r>
        <w:t>is</w:t>
      </w:r>
      <w:r w:rsidR="0046778E">
        <w:t xml:space="preserve"> attached as </w:t>
      </w:r>
      <w:r w:rsidR="0046778E" w:rsidRPr="00261B55">
        <w:rPr>
          <w:u w:val="single"/>
        </w:rPr>
        <w:t>Appendix E</w:t>
      </w:r>
      <w:r w:rsidR="0046778E">
        <w:t>.</w:t>
      </w:r>
      <w:bookmarkStart w:id="0" w:name="_GoBack"/>
      <w:bookmarkEnd w:id="0"/>
    </w:p>
    <w:p w14:paraId="2DA62176" w14:textId="77777777" w:rsidR="0046778E" w:rsidRPr="00CB229A" w:rsidRDefault="0046778E" w:rsidP="00100D11">
      <w:pPr>
        <w:ind w:left="360"/>
      </w:pPr>
    </w:p>
    <w:p w14:paraId="2353FA25" w14:textId="77777777" w:rsidR="00CB229A" w:rsidRPr="00CB229A" w:rsidRDefault="00CB229A" w:rsidP="00CB229A">
      <w:pPr>
        <w:ind w:left="1080"/>
        <w:rPr>
          <w:b/>
        </w:rPr>
      </w:pPr>
    </w:p>
    <w:p w14:paraId="50EA3548" w14:textId="77777777" w:rsidR="006B0FE5" w:rsidRDefault="006B0FE5" w:rsidP="001745EE"/>
    <w:sectPr w:rsidR="006B0FE5" w:rsidSect="006B0FE5">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02932" w14:textId="77777777" w:rsidR="006B0FE5" w:rsidRDefault="006B0FE5" w:rsidP="006B0FE5">
      <w:pPr>
        <w:spacing w:after="0" w:line="240" w:lineRule="auto"/>
      </w:pPr>
      <w:r>
        <w:separator/>
      </w:r>
    </w:p>
  </w:endnote>
  <w:endnote w:type="continuationSeparator" w:id="0">
    <w:p w14:paraId="48373026" w14:textId="77777777" w:rsidR="006B0FE5" w:rsidRDefault="006B0FE5" w:rsidP="006B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FAD74" w14:textId="77777777" w:rsidR="006B0FE5" w:rsidRDefault="006B0FE5" w:rsidP="006B0FE5">
      <w:pPr>
        <w:spacing w:after="0" w:line="240" w:lineRule="auto"/>
      </w:pPr>
      <w:r>
        <w:separator/>
      </w:r>
    </w:p>
  </w:footnote>
  <w:footnote w:type="continuationSeparator" w:id="0">
    <w:p w14:paraId="74B3BC81" w14:textId="77777777" w:rsidR="006B0FE5" w:rsidRDefault="006B0FE5" w:rsidP="006B0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968AB" w14:textId="6485E5F6" w:rsidR="006B0FE5" w:rsidRPr="006B0FE5" w:rsidRDefault="006B0FE5" w:rsidP="006B0FE5">
    <w:pPr>
      <w:pStyle w:val="Header"/>
      <w:jc w:val="center"/>
      <w:rPr>
        <w:rFonts w:ascii="Tahoma" w:hAnsi="Tahoma" w:cs="Tahoma"/>
        <w:b/>
        <w:sz w:val="24"/>
      </w:rPr>
    </w:pPr>
    <w:r w:rsidRPr="006B0FE5">
      <w:rPr>
        <w:rFonts w:ascii="Tahoma" w:hAnsi="Tahoma" w:cs="Tahoma"/>
        <w:b/>
        <w:sz w:val="24"/>
      </w:rPr>
      <w:t>Interim Report Sample</w:t>
    </w:r>
  </w:p>
  <w:p w14:paraId="7FD3FEE8" w14:textId="655B0C84" w:rsidR="006B0FE5" w:rsidRPr="006B0FE5" w:rsidRDefault="006B0FE5" w:rsidP="006B0FE5">
    <w:pPr>
      <w:pStyle w:val="Header"/>
      <w:jc w:val="center"/>
      <w:rPr>
        <w:sz w:val="18"/>
      </w:rPr>
    </w:pPr>
    <w:r>
      <w:rPr>
        <w:sz w:val="18"/>
      </w:rPr>
      <w:t>This document serves as an example of a proper interim report submission.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CCFA5" w14:textId="77777777" w:rsidR="006B0FE5" w:rsidRPr="006B0FE5" w:rsidRDefault="006B0FE5" w:rsidP="006B0FE5">
    <w:pPr>
      <w:pStyle w:val="Header"/>
      <w:jc w:val="center"/>
      <w:rPr>
        <w:rFonts w:ascii="Tahoma" w:hAnsi="Tahoma" w:cs="Tahoma"/>
        <w:b/>
        <w:sz w:val="24"/>
      </w:rPr>
    </w:pPr>
    <w:r w:rsidRPr="006B0FE5">
      <w:rPr>
        <w:rFonts w:ascii="Tahoma" w:hAnsi="Tahoma" w:cs="Tahoma"/>
        <w:b/>
        <w:sz w:val="24"/>
      </w:rPr>
      <w:t>Interim Report Sample</w:t>
    </w:r>
  </w:p>
  <w:p w14:paraId="05B6C895" w14:textId="77777777" w:rsidR="006B0FE5" w:rsidRPr="006B0FE5" w:rsidRDefault="006B0FE5" w:rsidP="006B0FE5">
    <w:pPr>
      <w:pStyle w:val="Header"/>
      <w:jc w:val="center"/>
      <w:rPr>
        <w:sz w:val="18"/>
      </w:rPr>
    </w:pPr>
    <w:r>
      <w:rPr>
        <w:sz w:val="18"/>
      </w:rPr>
      <w:t>This document serves as an example of a proper interim report submission.</w:t>
    </w:r>
  </w:p>
  <w:p w14:paraId="5E075DAE" w14:textId="77777777" w:rsidR="006B0FE5" w:rsidRDefault="006B0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BA1"/>
    <w:multiLevelType w:val="hybridMultilevel"/>
    <w:tmpl w:val="B1049C6C"/>
    <w:lvl w:ilvl="0" w:tplc="04090017">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31CE6"/>
    <w:multiLevelType w:val="hybridMultilevel"/>
    <w:tmpl w:val="9CEA4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E5"/>
    <w:rsid w:val="000A4384"/>
    <w:rsid w:val="00100D11"/>
    <w:rsid w:val="0010129C"/>
    <w:rsid w:val="001112FF"/>
    <w:rsid w:val="001745EE"/>
    <w:rsid w:val="002370DD"/>
    <w:rsid w:val="00261B55"/>
    <w:rsid w:val="003B3F71"/>
    <w:rsid w:val="003B5893"/>
    <w:rsid w:val="0043260F"/>
    <w:rsid w:val="0046778E"/>
    <w:rsid w:val="00590EC9"/>
    <w:rsid w:val="005A4AD4"/>
    <w:rsid w:val="006106EF"/>
    <w:rsid w:val="0062387C"/>
    <w:rsid w:val="00654B97"/>
    <w:rsid w:val="006B0FE5"/>
    <w:rsid w:val="008314DF"/>
    <w:rsid w:val="00915CE4"/>
    <w:rsid w:val="00931A92"/>
    <w:rsid w:val="00954C41"/>
    <w:rsid w:val="00A019B3"/>
    <w:rsid w:val="00A7740A"/>
    <w:rsid w:val="00B00265"/>
    <w:rsid w:val="00C21FE4"/>
    <w:rsid w:val="00CB229A"/>
    <w:rsid w:val="00CB381A"/>
    <w:rsid w:val="00D364D8"/>
    <w:rsid w:val="00F90A04"/>
    <w:rsid w:val="00F91B3C"/>
    <w:rsid w:val="00FA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1AAEF"/>
  <w15:chartTrackingRefBased/>
  <w15:docId w15:val="{A37FAD45-0FF6-4F15-8EF0-2DEE0DF3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FE5"/>
  </w:style>
  <w:style w:type="paragraph" w:styleId="Footer">
    <w:name w:val="footer"/>
    <w:basedOn w:val="Normal"/>
    <w:link w:val="FooterChar"/>
    <w:uiPriority w:val="99"/>
    <w:unhideWhenUsed/>
    <w:rsid w:val="006B0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FE5"/>
  </w:style>
  <w:style w:type="paragraph" w:styleId="ListParagraph">
    <w:name w:val="List Paragraph"/>
    <w:basedOn w:val="Normal"/>
    <w:uiPriority w:val="34"/>
    <w:qFormat/>
    <w:rsid w:val="006B0FE5"/>
    <w:pPr>
      <w:ind w:left="720"/>
      <w:contextualSpacing/>
    </w:pPr>
  </w:style>
  <w:style w:type="character" w:styleId="Hyperlink">
    <w:name w:val="Hyperlink"/>
    <w:basedOn w:val="DefaultParagraphFont"/>
    <w:uiPriority w:val="99"/>
    <w:unhideWhenUsed/>
    <w:rsid w:val="006B0FE5"/>
    <w:rPr>
      <w:color w:val="0563C1" w:themeColor="hyperlink"/>
      <w:u w:val="single"/>
    </w:rPr>
  </w:style>
  <w:style w:type="table" w:styleId="TableGrid">
    <w:name w:val="Table Grid"/>
    <w:basedOn w:val="TableNormal"/>
    <w:uiPriority w:val="39"/>
    <w:rsid w:val="00A0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112FF"/>
    <w:pPr>
      <w:spacing w:after="0" w:line="24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1112F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7740A"/>
    <w:rPr>
      <w:sz w:val="16"/>
      <w:szCs w:val="16"/>
    </w:rPr>
  </w:style>
  <w:style w:type="paragraph" w:styleId="CommentText">
    <w:name w:val="annotation text"/>
    <w:basedOn w:val="Normal"/>
    <w:link w:val="CommentTextChar"/>
    <w:uiPriority w:val="99"/>
    <w:semiHidden/>
    <w:unhideWhenUsed/>
    <w:rsid w:val="00A7740A"/>
    <w:pPr>
      <w:spacing w:line="240" w:lineRule="auto"/>
    </w:pPr>
    <w:rPr>
      <w:sz w:val="20"/>
      <w:szCs w:val="20"/>
    </w:rPr>
  </w:style>
  <w:style w:type="character" w:customStyle="1" w:styleId="CommentTextChar">
    <w:name w:val="Comment Text Char"/>
    <w:basedOn w:val="DefaultParagraphFont"/>
    <w:link w:val="CommentText"/>
    <w:uiPriority w:val="99"/>
    <w:semiHidden/>
    <w:rsid w:val="00A7740A"/>
    <w:rPr>
      <w:sz w:val="20"/>
      <w:szCs w:val="20"/>
    </w:rPr>
  </w:style>
  <w:style w:type="paragraph" w:styleId="CommentSubject">
    <w:name w:val="annotation subject"/>
    <w:basedOn w:val="CommentText"/>
    <w:next w:val="CommentText"/>
    <w:link w:val="CommentSubjectChar"/>
    <w:uiPriority w:val="99"/>
    <w:semiHidden/>
    <w:unhideWhenUsed/>
    <w:rsid w:val="00A7740A"/>
    <w:rPr>
      <w:b/>
      <w:bCs/>
    </w:rPr>
  </w:style>
  <w:style w:type="character" w:customStyle="1" w:styleId="CommentSubjectChar">
    <w:name w:val="Comment Subject Char"/>
    <w:basedOn w:val="CommentTextChar"/>
    <w:link w:val="CommentSubject"/>
    <w:uiPriority w:val="99"/>
    <w:semiHidden/>
    <w:rsid w:val="00A7740A"/>
    <w:rPr>
      <w:b/>
      <w:bCs/>
      <w:sz w:val="20"/>
      <w:szCs w:val="20"/>
    </w:rPr>
  </w:style>
  <w:style w:type="paragraph" w:styleId="BalloonText">
    <w:name w:val="Balloon Text"/>
    <w:basedOn w:val="Normal"/>
    <w:link w:val="BalloonTextChar"/>
    <w:uiPriority w:val="99"/>
    <w:semiHidden/>
    <w:unhideWhenUsed/>
    <w:rsid w:val="00A77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2105">
      <w:bodyDiv w:val="1"/>
      <w:marLeft w:val="0"/>
      <w:marRight w:val="0"/>
      <w:marTop w:val="0"/>
      <w:marBottom w:val="0"/>
      <w:divBdr>
        <w:top w:val="none" w:sz="0" w:space="0" w:color="auto"/>
        <w:left w:val="none" w:sz="0" w:space="0" w:color="auto"/>
        <w:bottom w:val="none" w:sz="0" w:space="0" w:color="auto"/>
        <w:right w:val="none" w:sz="0" w:space="0" w:color="auto"/>
      </w:divBdr>
    </w:div>
    <w:div w:id="1161389092">
      <w:bodyDiv w:val="1"/>
      <w:marLeft w:val="0"/>
      <w:marRight w:val="0"/>
      <w:marTop w:val="0"/>
      <w:marBottom w:val="0"/>
      <w:divBdr>
        <w:top w:val="none" w:sz="0" w:space="0" w:color="auto"/>
        <w:left w:val="none" w:sz="0" w:space="0" w:color="auto"/>
        <w:bottom w:val="none" w:sz="0" w:space="0" w:color="auto"/>
        <w:right w:val="none" w:sz="0" w:space="0" w:color="auto"/>
      </w:divBdr>
    </w:div>
    <w:div w:id="184655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Luzzi</dc:creator>
  <cp:keywords/>
  <dc:description/>
  <cp:lastModifiedBy>Kristen Force</cp:lastModifiedBy>
  <cp:revision>3</cp:revision>
  <dcterms:created xsi:type="dcterms:W3CDTF">2019-05-17T15:01:00Z</dcterms:created>
  <dcterms:modified xsi:type="dcterms:W3CDTF">2019-05-17T15:06:00Z</dcterms:modified>
</cp:coreProperties>
</file>